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2AF08" w14:textId="77777777" w:rsidR="001044C1" w:rsidRDefault="005769C7">
      <w:pPr>
        <w:jc w:val="center"/>
      </w:pPr>
      <w:r>
        <w:rPr>
          <w:b/>
          <w:color w:val="3C78D8"/>
          <w:sz w:val="36"/>
          <w:szCs w:val="36"/>
        </w:rPr>
        <w:t>Montana Stroke Initiative</w:t>
      </w:r>
      <w:r>
        <w:t xml:space="preserve"> </w:t>
      </w:r>
    </w:p>
    <w:p w14:paraId="14B1B986" w14:textId="77777777" w:rsidR="001044C1" w:rsidRDefault="005769C7">
      <w:pPr>
        <w:jc w:val="center"/>
        <w:rPr>
          <w:b/>
          <w:u w:val="single"/>
        </w:rPr>
      </w:pPr>
      <w:r>
        <w:rPr>
          <w:b/>
          <w:u w:val="single"/>
        </w:rPr>
        <w:t xml:space="preserve">Evaluation of Patients with Transient Ischemic Attack (TIA) </w:t>
      </w:r>
    </w:p>
    <w:p w14:paraId="01270793" w14:textId="77777777" w:rsidR="001044C1" w:rsidRDefault="001044C1">
      <w:pPr>
        <w:jc w:val="center"/>
        <w:rPr>
          <w:b/>
          <w:u w:val="single"/>
        </w:rPr>
      </w:pPr>
    </w:p>
    <w:p w14:paraId="515A473A" w14:textId="6340FE45" w:rsidR="001044C1" w:rsidRDefault="005769C7">
      <w:pPr>
        <w:rPr>
          <w:b/>
        </w:rPr>
      </w:pPr>
      <w:r>
        <w:rPr>
          <w:b/>
        </w:rPr>
        <w:t xml:space="preserve">Any of the following should be considered focal neurologic stroke symptoms which, if resolved (in 60 minutes or less) with no residual deficits or active fluctuation, should be considered transient ischemic attack. The neurologic examination and NIHSS are stable with no appreciable remaining deficits compared to the patient’s baseline. </w:t>
      </w:r>
    </w:p>
    <w:p w14:paraId="0F6B5816" w14:textId="77777777" w:rsidR="001044C1" w:rsidRDefault="001044C1">
      <w:pPr>
        <w:rPr>
          <w:b/>
        </w:rPr>
      </w:pPr>
    </w:p>
    <w:p w14:paraId="241F0508" w14:textId="76D7297D" w:rsidR="001044C1" w:rsidRDefault="00973A80" w:rsidP="00973A80">
      <w:pPr>
        <w:spacing w:line="259" w:lineRule="auto"/>
        <w:ind w:left="720"/>
      </w:pPr>
      <w:sdt>
        <w:sdtPr>
          <w:id w:val="-158737420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5769C7">
        <w:t xml:space="preserve">Balance- Sudden trouble walking, dizziness, loss of balance or coordination </w:t>
      </w:r>
    </w:p>
    <w:p w14:paraId="5510D0DB" w14:textId="6BE64A17" w:rsidR="001044C1" w:rsidRDefault="00973A80" w:rsidP="00973A80">
      <w:pPr>
        <w:spacing w:line="259" w:lineRule="auto"/>
        <w:ind w:left="720"/>
      </w:pPr>
      <w:sdt>
        <w:sdtPr>
          <w:id w:val="-97390485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5769C7">
        <w:t xml:space="preserve">Eyes- Sudden double vision or trouble seeing out of one or both eyes. </w:t>
      </w:r>
    </w:p>
    <w:p w14:paraId="0129504F" w14:textId="529C6DBA" w:rsidR="001044C1" w:rsidRDefault="00973A80" w:rsidP="00973A80">
      <w:pPr>
        <w:spacing w:line="259" w:lineRule="auto"/>
        <w:ind w:left="720"/>
      </w:pPr>
      <w:sdt>
        <w:sdtPr>
          <w:id w:val="-82258035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5769C7">
        <w:t xml:space="preserve">Face- Sudden drooping or numbness on one side of the face. </w:t>
      </w:r>
    </w:p>
    <w:p w14:paraId="28FA85A5" w14:textId="078E6B64" w:rsidR="001044C1" w:rsidRDefault="00973A80" w:rsidP="00973A80">
      <w:pPr>
        <w:spacing w:line="259" w:lineRule="auto"/>
        <w:ind w:left="720"/>
      </w:pPr>
      <w:sdt>
        <w:sdtPr>
          <w:id w:val="177998678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5769C7">
        <w:t>Arm- Sudden numbness or weakness of the arm, especially on one side of the body</w:t>
      </w:r>
      <w:r w:rsidR="00012D00">
        <w:t xml:space="preserve">. </w:t>
      </w:r>
    </w:p>
    <w:p w14:paraId="2DE5E575" w14:textId="7AB03E45" w:rsidR="001044C1" w:rsidRDefault="00973A80" w:rsidP="00973A80">
      <w:pPr>
        <w:spacing w:line="259" w:lineRule="auto"/>
        <w:ind w:left="720"/>
      </w:pPr>
      <w:sdt>
        <w:sdtPr>
          <w:id w:val="179186124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5769C7">
        <w:t>Speech- Sudden confusion, trouble speaking or understanding</w:t>
      </w:r>
      <w:r w:rsidR="00012D00">
        <w:t xml:space="preserve">. </w:t>
      </w:r>
    </w:p>
    <w:p w14:paraId="67A088AA" w14:textId="77777777" w:rsidR="001044C1" w:rsidRDefault="001044C1">
      <w:pPr>
        <w:spacing w:line="259" w:lineRule="auto"/>
      </w:pPr>
    </w:p>
    <w:p w14:paraId="14A7CB13" w14:textId="182067BB" w:rsidR="001044C1" w:rsidRDefault="005769C7">
      <w:pPr>
        <w:spacing w:line="259" w:lineRule="auto"/>
      </w:pPr>
      <w:r>
        <w:t>Transient Ischemic Attack severity may be assessed using the ABCD</w:t>
      </w:r>
      <w:r>
        <w:rPr>
          <w:vertAlign w:val="superscript"/>
        </w:rPr>
        <w:t>2</w:t>
      </w:r>
      <w:r>
        <w:t xml:space="preserve"> score that quantifies future stroke risk based on the patient’s age, blood pressure, clinical TIA features, duration, and presence of diabetes</w:t>
      </w:r>
      <w:r w:rsidR="00012D00">
        <w:t xml:space="preserve">. </w:t>
      </w:r>
      <w:r>
        <w:t>Consult with a neurologist before deciding to discharge or transfer a TIA patient. Accessibility to and timing of diagnostic testing and the ABCD</w:t>
      </w:r>
      <w:r>
        <w:rPr>
          <w:vertAlign w:val="superscript"/>
        </w:rPr>
        <w:t>2</w:t>
      </w:r>
      <w:r>
        <w:t xml:space="preserve"> score are used to determine a post TIA treatment plan with the neurologist. </w:t>
      </w:r>
    </w:p>
    <w:p w14:paraId="04264384" w14:textId="77777777" w:rsidR="001044C1" w:rsidRDefault="001044C1">
      <w:pPr>
        <w:spacing w:line="259" w:lineRule="auto"/>
      </w:pPr>
    </w:p>
    <w:p w14:paraId="4AF8C77D" w14:textId="77777777" w:rsidR="001044C1" w:rsidRDefault="005769C7">
      <w:pPr>
        <w:widowControl w:val="0"/>
        <w:spacing w:after="160" w:line="258" w:lineRule="auto"/>
      </w:pPr>
      <w:r>
        <w:t>The ABCD</w:t>
      </w:r>
      <w:r>
        <w:rPr>
          <w:vertAlign w:val="superscript"/>
        </w:rPr>
        <w:t>2</w:t>
      </w:r>
      <w:r>
        <w:t xml:space="preserve"> score is used in conjunction with clinical judgment. If a patient presents with clinical features not listed in the ABCD2 score table, it is still recommended to consult with a neurologist. </w:t>
      </w:r>
    </w:p>
    <w:p w14:paraId="4509EA84" w14:textId="6D9FFA56" w:rsidR="001044C1" w:rsidRDefault="005769C7">
      <w:pPr>
        <w:widowControl w:val="0"/>
        <w:spacing w:after="160" w:line="258" w:lineRule="auto"/>
      </w:pPr>
      <w:r>
        <w:t>The ABCD</w:t>
      </w:r>
      <w:r>
        <w:rPr>
          <w:vertAlign w:val="superscript"/>
        </w:rPr>
        <w:t>2</w:t>
      </w:r>
      <w:r>
        <w:t xml:space="preserve"> Score is a risk assessment tool designed to improve the prediction of short-term stroke risk after a transient ischemic attack (TIA)</w:t>
      </w:r>
      <w:r w:rsidR="00012D00">
        <w:t xml:space="preserve">. </w:t>
      </w:r>
      <w:r>
        <w:t>The score is optimized to predict the risk of stroke within 2 days after a TIA, but also predicts stroke risk within 90 days</w:t>
      </w:r>
      <w:r w:rsidR="00012D00">
        <w:t xml:space="preserve">. </w:t>
      </w:r>
      <w:r>
        <w:t>The ABCD</w:t>
      </w:r>
      <w:r>
        <w:rPr>
          <w:vertAlign w:val="superscript"/>
        </w:rPr>
        <w:t xml:space="preserve">2 </w:t>
      </w:r>
      <w:r>
        <w:t>score is calculated by summing up the points for five independent risk factors. Patients without the risk factors in each category are scored a 0 for that category</w:t>
      </w:r>
      <w:r w:rsidR="00012D00">
        <w:t xml:space="preserve">. </w:t>
      </w:r>
      <w:r>
        <w:t>Higher ABCD</w:t>
      </w:r>
      <w:r>
        <w:rPr>
          <w:vertAlign w:val="superscript"/>
        </w:rPr>
        <w:t>2</w:t>
      </w:r>
      <w:r>
        <w:t xml:space="preserve"> scores are associated with greater risk</w:t>
      </w:r>
      <w:r w:rsidR="00012D00">
        <w:t xml:space="preserve">. </w:t>
      </w:r>
      <w:r>
        <w:t>In general, patients with a score of 0-1 should be evaluated by a neurologist within 7 days.</w:t>
      </w:r>
    </w:p>
    <w:p w14:paraId="28769735" w14:textId="77777777" w:rsidR="001044C1" w:rsidRDefault="005769C7">
      <w:pPr>
        <w:widowControl w:val="0"/>
        <w:spacing w:after="160" w:line="258" w:lineRule="auto"/>
      </w:pPr>
      <w:r>
        <w:t xml:space="preserve"> Patients with any of the following should likely be transferred and/or admitted for further evaluation:</w:t>
      </w:r>
    </w:p>
    <w:p w14:paraId="68938A24" w14:textId="31703E50" w:rsidR="001044C1" w:rsidRDefault="007C591A" w:rsidP="007C591A">
      <w:pPr>
        <w:widowControl w:val="0"/>
        <w:spacing w:line="258" w:lineRule="auto"/>
        <w:ind w:left="720"/>
      </w:pPr>
      <w:sdt>
        <w:sdtPr>
          <w:id w:val="22580325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5769C7">
        <w:t>ABCD</w:t>
      </w:r>
      <w:r w:rsidR="005769C7">
        <w:rPr>
          <w:vertAlign w:val="superscript"/>
        </w:rPr>
        <w:t>2</w:t>
      </w:r>
      <w:r w:rsidR="005769C7">
        <w:t xml:space="preserve"> scores of 0-1 if all the necessary work up cannot be completed locally within</w:t>
      </w:r>
      <w:r>
        <w:br/>
        <w:t xml:space="preserve">      </w:t>
      </w:r>
      <w:r w:rsidR="005769C7">
        <w:t xml:space="preserve">the next 7 days. </w:t>
      </w:r>
    </w:p>
    <w:p w14:paraId="7F2788A0" w14:textId="14D4309A" w:rsidR="001044C1" w:rsidRDefault="007C591A" w:rsidP="007C591A">
      <w:pPr>
        <w:widowControl w:val="0"/>
        <w:spacing w:line="258" w:lineRule="auto"/>
        <w:ind w:left="720"/>
      </w:pPr>
      <w:sdt>
        <w:sdtPr>
          <w:id w:val="-207380401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5769C7">
        <w:t>ABCD</w:t>
      </w:r>
      <w:r w:rsidR="005769C7">
        <w:rPr>
          <w:vertAlign w:val="superscript"/>
        </w:rPr>
        <w:t>2</w:t>
      </w:r>
      <w:r w:rsidR="005769C7">
        <w:t xml:space="preserve"> scores of 2 or more </w:t>
      </w:r>
    </w:p>
    <w:p w14:paraId="2AB16480" w14:textId="17DE255A" w:rsidR="001044C1" w:rsidRDefault="007C591A" w:rsidP="007C591A">
      <w:pPr>
        <w:widowControl w:val="0"/>
        <w:spacing w:line="258" w:lineRule="auto"/>
        <w:ind w:left="720"/>
      </w:pPr>
      <w:sdt>
        <w:sdtPr>
          <w:id w:val="112627434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5769C7">
        <w:t>Abnormal vascular imaging (intracranial, extracranial)</w:t>
      </w:r>
    </w:p>
    <w:p w14:paraId="72695E6F" w14:textId="2F78D1E9" w:rsidR="001044C1" w:rsidRDefault="007C591A" w:rsidP="007C591A">
      <w:pPr>
        <w:widowControl w:val="0"/>
        <w:spacing w:line="258" w:lineRule="auto"/>
        <w:ind w:left="720"/>
      </w:pPr>
      <w:sdt>
        <w:sdtPr>
          <w:id w:val="37990243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5769C7">
        <w:t>There is evidence of Ischemic lesion on CT or MRI</w:t>
      </w:r>
    </w:p>
    <w:p w14:paraId="4F58C3A8" w14:textId="75E67FD1" w:rsidR="001044C1" w:rsidRDefault="007C591A" w:rsidP="007C591A">
      <w:pPr>
        <w:widowControl w:val="0"/>
        <w:spacing w:line="258" w:lineRule="auto"/>
        <w:ind w:left="720"/>
      </w:pPr>
      <w:sdt>
        <w:sdtPr>
          <w:id w:val="-10908500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5769C7">
        <w:t>Fluctuating TIA symptoms or recurrent TIA within the previous 30 days</w:t>
      </w:r>
    </w:p>
    <w:p w14:paraId="1B56DD46" w14:textId="0AE3BDE2" w:rsidR="001044C1" w:rsidRDefault="007C591A" w:rsidP="007C591A">
      <w:pPr>
        <w:widowControl w:val="0"/>
        <w:spacing w:line="258" w:lineRule="auto"/>
        <w:ind w:left="720"/>
      </w:pPr>
      <w:sdt>
        <w:sdtPr>
          <w:id w:val="121231009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5769C7">
        <w:t>Medical. instability: new onset Atrial fib, hypertensive emergency, cardiac instability</w:t>
      </w:r>
      <w:r>
        <w:br/>
        <w:t xml:space="preserve">      </w:t>
      </w:r>
      <w:r w:rsidR="005769C7">
        <w:t xml:space="preserve">and others. </w:t>
      </w:r>
    </w:p>
    <w:p w14:paraId="6E7386B7" w14:textId="168D35B5" w:rsidR="001044C1" w:rsidRDefault="007C591A" w:rsidP="007C591A">
      <w:pPr>
        <w:widowControl w:val="0"/>
        <w:spacing w:after="160" w:line="258" w:lineRule="auto"/>
        <w:ind w:left="720"/>
      </w:pPr>
      <w:sdt>
        <w:sdtPr>
          <w:id w:val="199483213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5769C7">
        <w:t xml:space="preserve">This treatment plan is made in conjunction with the consulting neurologist. </w:t>
      </w:r>
    </w:p>
    <w:p w14:paraId="610414D6" w14:textId="77777777" w:rsidR="001044C1" w:rsidRDefault="001044C1">
      <w:pPr>
        <w:widowControl w:val="0"/>
        <w:spacing w:after="160" w:line="258" w:lineRule="auto"/>
      </w:pPr>
    </w:p>
    <w:p w14:paraId="74A04768" w14:textId="77777777" w:rsidR="001044C1" w:rsidRDefault="005769C7">
      <w:pPr>
        <w:widowControl w:val="0"/>
        <w:spacing w:after="160" w:line="258" w:lineRule="auto"/>
      </w:pPr>
      <w:r>
        <w:t xml:space="preserve">If the neurologist advises that the patient may be discharged and followed as an outpatient, </w:t>
      </w:r>
      <w:r>
        <w:lastRenderedPageBreak/>
        <w:t>assure that the following are in place</w:t>
      </w:r>
    </w:p>
    <w:p w14:paraId="43E04FAD" w14:textId="680368A0" w:rsidR="001044C1" w:rsidRDefault="007C591A" w:rsidP="007C591A">
      <w:pPr>
        <w:widowControl w:val="0"/>
        <w:spacing w:line="258" w:lineRule="auto"/>
        <w:ind w:left="720"/>
      </w:pPr>
      <w:sdt>
        <w:sdtPr>
          <w:id w:val="-206964073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5769C7">
        <w:t>Follow up appointments for diagnostic testing related to stroke risk</w:t>
      </w:r>
    </w:p>
    <w:p w14:paraId="0F5D7319" w14:textId="1E1C9307" w:rsidR="001044C1" w:rsidRDefault="007C591A" w:rsidP="007C591A">
      <w:pPr>
        <w:widowControl w:val="0"/>
        <w:spacing w:line="258" w:lineRule="auto"/>
        <w:ind w:left="720"/>
      </w:pPr>
      <w:sdt>
        <w:sdtPr>
          <w:id w:val="-18944918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5769C7">
        <w:t>Patient is begun on antiplatelet or other therapies at the recommendation of the</w:t>
      </w:r>
      <w:r>
        <w:br/>
        <w:t xml:space="preserve">      </w:t>
      </w:r>
      <w:r w:rsidR="005769C7">
        <w:t>neurologist</w:t>
      </w:r>
    </w:p>
    <w:p w14:paraId="0F1531FE" w14:textId="31C92CC1" w:rsidR="001044C1" w:rsidRDefault="007C591A" w:rsidP="007C591A">
      <w:pPr>
        <w:widowControl w:val="0"/>
        <w:spacing w:after="160" w:line="258" w:lineRule="auto"/>
        <w:ind w:left="720"/>
      </w:pPr>
      <w:sdt>
        <w:sdtPr>
          <w:id w:val="169303298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5769C7">
        <w:t>Patient receives education about their stroke risk factors, signs of stroke, and the</w:t>
      </w:r>
      <w:r>
        <w:br/>
        <w:t xml:space="preserve">      </w:t>
      </w:r>
      <w:r w:rsidR="005769C7">
        <w:t>importance of using 9-1-1</w:t>
      </w:r>
    </w:p>
    <w:p w14:paraId="3B2BA1AF" w14:textId="77777777" w:rsidR="001044C1" w:rsidRDefault="005769C7">
      <w:pPr>
        <w:spacing w:line="259" w:lineRule="auto"/>
      </w:pPr>
      <w:r>
        <w:rPr>
          <w:noProof/>
        </w:rPr>
        <mc:AlternateContent>
          <mc:Choice Requires="wps">
            <w:drawing>
              <wp:anchor distT="0" distB="0" distL="114300" distR="114300" simplePos="0" relativeHeight="251658240" behindDoc="0" locked="0" layoutInCell="1" hidden="0" allowOverlap="1" wp14:anchorId="2315BAE5" wp14:editId="13AF95D9">
                <wp:simplePos x="0" y="0"/>
                <wp:positionH relativeFrom="column">
                  <wp:posOffset>-425449</wp:posOffset>
                </wp:positionH>
                <wp:positionV relativeFrom="paragraph">
                  <wp:posOffset>76200</wp:posOffset>
                </wp:positionV>
                <wp:extent cx="6593205" cy="558165"/>
                <wp:effectExtent l="0" t="0" r="0" b="0"/>
                <wp:wrapNone/>
                <wp:docPr id="1" name=""/>
                <wp:cNvGraphicFramePr/>
                <a:graphic xmlns:a="http://schemas.openxmlformats.org/drawingml/2006/main">
                  <a:graphicData uri="http://schemas.microsoft.com/office/word/2010/wordprocessingShape">
                    <wps:wsp>
                      <wps:cNvSpPr/>
                      <wps:spPr>
                        <a:xfrm>
                          <a:off x="2054160" y="3505680"/>
                          <a:ext cx="6583680" cy="548640"/>
                        </a:xfrm>
                        <a:prstGeom prst="rect">
                          <a:avLst/>
                        </a:prstGeom>
                        <a:solidFill>
                          <a:srgbClr val="F2F2F2"/>
                        </a:solidFill>
                        <a:ln w="9525" cap="flat" cmpd="sng">
                          <a:solidFill>
                            <a:srgbClr val="000000"/>
                          </a:solidFill>
                          <a:prstDash val="solid"/>
                          <a:round/>
                          <a:headEnd type="none" w="sm" len="sm"/>
                          <a:tailEnd type="none" w="sm" len="sm"/>
                        </a:ln>
                      </wps:spPr>
                      <wps:txbx>
                        <w:txbxContent>
                          <w:p w14:paraId="68F9C497" w14:textId="77777777" w:rsidR="001044C1" w:rsidRDefault="005769C7">
                            <w:pPr>
                              <w:spacing w:after="160" w:line="258" w:lineRule="auto"/>
                              <w:jc w:val="center"/>
                              <w:textDirection w:val="btLr"/>
                            </w:pPr>
                            <w:r>
                              <w:rPr>
                                <w:rFonts w:ascii="Calibri" w:eastAsia="Calibri" w:hAnsi="Calibri" w:cs="Calibri"/>
                                <w:color w:val="000000"/>
                                <w:sz w:val="44"/>
                              </w:rPr>
                              <w:t>ABCD</w:t>
                            </w:r>
                            <w:r>
                              <w:rPr>
                                <w:rFonts w:ascii="Calibri" w:eastAsia="Calibri" w:hAnsi="Calibri" w:cs="Calibri"/>
                                <w:color w:val="000000"/>
                                <w:sz w:val="44"/>
                                <w:vertAlign w:val="superscript"/>
                              </w:rPr>
                              <w:t>2</w:t>
                            </w:r>
                            <w:r>
                              <w:rPr>
                                <w:rFonts w:ascii="Calibri" w:eastAsia="Calibri" w:hAnsi="Calibri" w:cs="Calibri"/>
                                <w:color w:val="000000"/>
                                <w:sz w:val="44"/>
                              </w:rPr>
                              <w:t xml:space="preserve"> Score</w:t>
                            </w:r>
                          </w:p>
                        </w:txbxContent>
                      </wps:txbx>
                      <wps:bodyPr spcFirstLastPara="1" wrap="square" lIns="91425" tIns="45700" rIns="91425" bIns="45700" anchor="t" anchorCtr="0">
                        <a:noAutofit/>
                      </wps:bodyPr>
                    </wps:wsp>
                  </a:graphicData>
                </a:graphic>
              </wp:anchor>
            </w:drawing>
          </mc:Choice>
          <mc:Fallback>
            <w:pict>
              <v:rect w14:anchorId="2315BAE5" id="_x0000_s1026" style="position:absolute;margin-left:-33.5pt;margin-top:6pt;width:519.15pt;height:43.9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" fillcolor="#f2f2f2">
                <v:stroke startarrowwidth="narrow" startarrowlength="short" endarrowwidth="narrow" endarrowlength="short" joinstyle="round"/>
                <v:textbox inset="2.53958mm,1.2694mm,2.53958mm,1.2694mm">
                  <w:txbxContent>
                    <w:p w14:paraId="68F9C497" w14:textId="77777777" w:rsidR="001044C1" w:rsidRDefault="005769C7">
                      <w:pPr>
                        <w:spacing w:after="160" w:line="258" w:lineRule="auto"/>
                        <w:jc w:val="center"/>
                        <w:textDirection w:val="btLr"/>
                      </w:pPr>
                      <w:r>
                        <w:rPr>
                          <w:rFonts w:ascii="Calibri" w:eastAsia="Calibri" w:hAnsi="Calibri" w:cs="Calibri"/>
                          <w:color w:val="000000"/>
                          <w:sz w:val="44"/>
                        </w:rPr>
                        <w:t>ABCD</w:t>
                      </w:r>
                      <w:r>
                        <w:rPr>
                          <w:rFonts w:ascii="Calibri" w:eastAsia="Calibri" w:hAnsi="Calibri" w:cs="Calibri"/>
                          <w:color w:val="000000"/>
                          <w:sz w:val="44"/>
                          <w:vertAlign w:val="superscript"/>
                        </w:rPr>
                        <w:t>2</w:t>
                      </w:r>
                      <w:r>
                        <w:rPr>
                          <w:rFonts w:ascii="Calibri" w:eastAsia="Calibri" w:hAnsi="Calibri" w:cs="Calibri"/>
                          <w:color w:val="000000"/>
                          <w:sz w:val="44"/>
                        </w:rPr>
                        <w:t xml:space="preserve"> Score</w:t>
                      </w:r>
                    </w:p>
                  </w:txbxContent>
                </v:textbox>
              </v:rect>
            </w:pict>
          </mc:Fallback>
        </mc:AlternateContent>
      </w:r>
    </w:p>
    <w:p w14:paraId="13E68A32" w14:textId="77777777" w:rsidR="001044C1" w:rsidRDefault="001044C1">
      <w:pPr>
        <w:spacing w:line="259" w:lineRule="auto"/>
      </w:pPr>
    </w:p>
    <w:p w14:paraId="0E506EEB" w14:textId="77777777" w:rsidR="001044C1" w:rsidRDefault="001044C1">
      <w:pPr>
        <w:spacing w:line="259" w:lineRule="auto"/>
      </w:pPr>
    </w:p>
    <w:p w14:paraId="3EBBDD2D" w14:textId="77777777" w:rsidR="001044C1" w:rsidRDefault="001044C1"/>
    <w:p w14:paraId="4820DCD7" w14:textId="77777777" w:rsidR="001044C1" w:rsidRDefault="001044C1"/>
    <w:p w14:paraId="2FC5079D" w14:textId="77777777" w:rsidR="001044C1" w:rsidRDefault="001044C1">
      <w:pPr>
        <w:spacing w:after="160" w:line="259" w:lineRule="auto"/>
        <w:rPr>
          <w:rFonts w:ascii="Calibri" w:eastAsia="Calibri" w:hAnsi="Calibri" w:cs="Calibri"/>
        </w:rPr>
      </w:pPr>
    </w:p>
    <w:tbl>
      <w:tblPr>
        <w:tblStyle w:val="a"/>
        <w:tblW w:w="99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83"/>
        <w:gridCol w:w="2003"/>
      </w:tblGrid>
      <w:tr w:rsidR="001044C1" w14:paraId="7B55AB7B" w14:textId="77777777">
        <w:trPr>
          <w:trHeight w:val="543"/>
          <w:jc w:val="center"/>
        </w:trPr>
        <w:tc>
          <w:tcPr>
            <w:tcW w:w="7983" w:type="dxa"/>
            <w:shd w:val="clear" w:color="auto" w:fill="F2F2F2"/>
          </w:tcPr>
          <w:p w14:paraId="34C1CDE7" w14:textId="77777777" w:rsidR="001044C1" w:rsidRDefault="005769C7">
            <w:pPr>
              <w:rPr>
                <w:rFonts w:ascii="Calibri" w:eastAsia="Calibri" w:hAnsi="Calibri" w:cs="Calibri"/>
              </w:rPr>
            </w:pPr>
            <w:r>
              <w:rPr>
                <w:rFonts w:ascii="Calibri" w:eastAsia="Calibri" w:hAnsi="Calibri" w:cs="Calibri"/>
                <w:sz w:val="36"/>
                <w:szCs w:val="36"/>
              </w:rPr>
              <w:t>Risk Factor                                                               Points</w:t>
            </w:r>
          </w:p>
        </w:tc>
        <w:tc>
          <w:tcPr>
            <w:tcW w:w="2003" w:type="dxa"/>
            <w:shd w:val="clear" w:color="auto" w:fill="F2F2F2"/>
          </w:tcPr>
          <w:p w14:paraId="0A04F5C8" w14:textId="77777777" w:rsidR="001044C1" w:rsidRDefault="005769C7">
            <w:pPr>
              <w:jc w:val="center"/>
              <w:rPr>
                <w:rFonts w:ascii="Calibri" w:eastAsia="Calibri" w:hAnsi="Calibri" w:cs="Calibri"/>
              </w:rPr>
            </w:pPr>
            <w:r>
              <w:rPr>
                <w:rFonts w:ascii="Calibri" w:eastAsia="Calibri" w:hAnsi="Calibri" w:cs="Calibri"/>
                <w:sz w:val="36"/>
                <w:szCs w:val="36"/>
              </w:rPr>
              <w:t>Score</w:t>
            </w:r>
          </w:p>
        </w:tc>
      </w:tr>
      <w:tr w:rsidR="001044C1" w14:paraId="1D5CD357" w14:textId="77777777">
        <w:trPr>
          <w:trHeight w:val="753"/>
          <w:jc w:val="center"/>
        </w:trPr>
        <w:tc>
          <w:tcPr>
            <w:tcW w:w="7983" w:type="dxa"/>
          </w:tcPr>
          <w:p w14:paraId="20A085DF" w14:textId="77777777" w:rsidR="001044C1" w:rsidRDefault="005769C7">
            <w:pPr>
              <w:rPr>
                <w:rFonts w:ascii="Calibri" w:eastAsia="Calibri" w:hAnsi="Calibri" w:cs="Calibri"/>
                <w:b/>
                <w:sz w:val="24"/>
                <w:szCs w:val="24"/>
              </w:rPr>
            </w:pPr>
            <w:r>
              <w:rPr>
                <w:rFonts w:ascii="Calibri" w:eastAsia="Calibri" w:hAnsi="Calibri" w:cs="Calibri"/>
                <w:b/>
                <w:sz w:val="24"/>
                <w:szCs w:val="24"/>
              </w:rPr>
              <w:t>Age</w:t>
            </w:r>
          </w:p>
          <w:p w14:paraId="493C7CF9" w14:textId="77777777" w:rsidR="001044C1" w:rsidRDefault="005769C7">
            <w:pPr>
              <w:rPr>
                <w:rFonts w:ascii="Calibri" w:eastAsia="Calibri" w:hAnsi="Calibri" w:cs="Calibri"/>
                <w:sz w:val="24"/>
                <w:szCs w:val="24"/>
                <w:u w:val="single"/>
              </w:rPr>
            </w:pPr>
            <w:r>
              <w:rPr>
                <w:rFonts w:ascii="Calibri" w:eastAsia="Calibri" w:hAnsi="Calibri" w:cs="Calibri"/>
                <w:sz w:val="24"/>
                <w:szCs w:val="24"/>
                <w:u w:val="single"/>
              </w:rPr>
              <w:t>&gt;</w:t>
            </w:r>
            <w:r>
              <w:rPr>
                <w:rFonts w:ascii="Calibri" w:eastAsia="Calibri" w:hAnsi="Calibri" w:cs="Calibri"/>
                <w:sz w:val="24"/>
                <w:szCs w:val="24"/>
              </w:rPr>
              <w:t xml:space="preserve">60 years                                                                                                                     </w:t>
            </w:r>
            <w:r>
              <w:rPr>
                <w:rFonts w:ascii="Calibri" w:eastAsia="Calibri" w:hAnsi="Calibri" w:cs="Calibri"/>
                <w:b/>
                <w:sz w:val="24"/>
                <w:szCs w:val="24"/>
              </w:rPr>
              <w:t>1</w:t>
            </w:r>
          </w:p>
        </w:tc>
        <w:tc>
          <w:tcPr>
            <w:tcW w:w="2003" w:type="dxa"/>
          </w:tcPr>
          <w:p w14:paraId="309348CE" w14:textId="77777777" w:rsidR="001044C1" w:rsidRDefault="001044C1">
            <w:pPr>
              <w:jc w:val="center"/>
              <w:rPr>
                <w:rFonts w:ascii="Calibri" w:eastAsia="Calibri" w:hAnsi="Calibri" w:cs="Calibri"/>
              </w:rPr>
            </w:pPr>
          </w:p>
        </w:tc>
      </w:tr>
      <w:tr w:rsidR="001044C1" w14:paraId="7FD79740" w14:textId="77777777">
        <w:trPr>
          <w:trHeight w:val="798"/>
          <w:jc w:val="center"/>
        </w:trPr>
        <w:tc>
          <w:tcPr>
            <w:tcW w:w="7983" w:type="dxa"/>
          </w:tcPr>
          <w:p w14:paraId="0D24758B" w14:textId="77777777" w:rsidR="001044C1" w:rsidRDefault="005769C7">
            <w:pPr>
              <w:rPr>
                <w:rFonts w:ascii="Calibri" w:eastAsia="Calibri" w:hAnsi="Calibri" w:cs="Calibri"/>
                <w:b/>
                <w:sz w:val="24"/>
                <w:szCs w:val="24"/>
              </w:rPr>
            </w:pPr>
            <w:r>
              <w:rPr>
                <w:rFonts w:ascii="Calibri" w:eastAsia="Calibri" w:hAnsi="Calibri" w:cs="Calibri"/>
                <w:b/>
                <w:sz w:val="24"/>
                <w:szCs w:val="24"/>
              </w:rPr>
              <w:t>Blood Pressure</w:t>
            </w:r>
          </w:p>
          <w:p w14:paraId="4ABE0D2B" w14:textId="77777777" w:rsidR="001044C1" w:rsidRDefault="005769C7">
            <w:pPr>
              <w:rPr>
                <w:rFonts w:ascii="Calibri" w:eastAsia="Calibri" w:hAnsi="Calibri" w:cs="Calibri"/>
                <w:sz w:val="24"/>
                <w:szCs w:val="24"/>
              </w:rPr>
            </w:pPr>
            <w:r>
              <w:rPr>
                <w:rFonts w:ascii="Calibri" w:eastAsia="Calibri" w:hAnsi="Calibri" w:cs="Calibri"/>
                <w:sz w:val="24"/>
                <w:szCs w:val="24"/>
              </w:rPr>
              <w:t xml:space="preserve">Initial Systolic BP </w:t>
            </w:r>
            <w:r>
              <w:rPr>
                <w:rFonts w:ascii="Calibri" w:eastAsia="Calibri" w:hAnsi="Calibri" w:cs="Calibri"/>
                <w:sz w:val="24"/>
                <w:szCs w:val="24"/>
                <w:u w:val="single"/>
              </w:rPr>
              <w:t>&gt;</w:t>
            </w:r>
            <w:r>
              <w:rPr>
                <w:rFonts w:ascii="Calibri" w:eastAsia="Calibri" w:hAnsi="Calibri" w:cs="Calibri"/>
                <w:sz w:val="24"/>
                <w:szCs w:val="24"/>
              </w:rPr>
              <w:t>140 mm Hg OR Diastolic BP</w:t>
            </w:r>
            <w:r>
              <w:rPr>
                <w:rFonts w:ascii="Calibri" w:eastAsia="Calibri" w:hAnsi="Calibri" w:cs="Calibri"/>
                <w:sz w:val="24"/>
                <w:szCs w:val="24"/>
                <w:u w:val="single"/>
              </w:rPr>
              <w:t xml:space="preserve"> &gt;</w:t>
            </w:r>
            <w:r>
              <w:rPr>
                <w:rFonts w:ascii="Calibri" w:eastAsia="Calibri" w:hAnsi="Calibri" w:cs="Calibri"/>
                <w:sz w:val="24"/>
                <w:szCs w:val="24"/>
              </w:rPr>
              <w:t xml:space="preserve">90 mm Hg                              </w:t>
            </w:r>
            <w:r>
              <w:rPr>
                <w:rFonts w:ascii="Calibri" w:eastAsia="Calibri" w:hAnsi="Calibri" w:cs="Calibri"/>
                <w:b/>
                <w:sz w:val="24"/>
                <w:szCs w:val="24"/>
              </w:rPr>
              <w:t>1</w:t>
            </w:r>
          </w:p>
        </w:tc>
        <w:tc>
          <w:tcPr>
            <w:tcW w:w="2003" w:type="dxa"/>
          </w:tcPr>
          <w:p w14:paraId="780C02E2" w14:textId="77777777" w:rsidR="001044C1" w:rsidRDefault="001044C1">
            <w:pPr>
              <w:jc w:val="center"/>
              <w:rPr>
                <w:rFonts w:ascii="Calibri" w:eastAsia="Calibri" w:hAnsi="Calibri" w:cs="Calibri"/>
              </w:rPr>
            </w:pPr>
          </w:p>
        </w:tc>
      </w:tr>
      <w:tr w:rsidR="001044C1" w14:paraId="7326D319" w14:textId="77777777">
        <w:trPr>
          <w:trHeight w:val="1007"/>
          <w:jc w:val="center"/>
        </w:trPr>
        <w:tc>
          <w:tcPr>
            <w:tcW w:w="7983" w:type="dxa"/>
          </w:tcPr>
          <w:p w14:paraId="0CD27BE6" w14:textId="7BB622B0" w:rsidR="001044C1" w:rsidRDefault="005769C7">
            <w:pPr>
              <w:rPr>
                <w:rFonts w:ascii="Calibri" w:eastAsia="Calibri" w:hAnsi="Calibri" w:cs="Calibri"/>
                <w:b/>
                <w:i/>
                <w:sz w:val="24"/>
                <w:szCs w:val="24"/>
              </w:rPr>
            </w:pPr>
            <w:r>
              <w:rPr>
                <w:rFonts w:ascii="Calibri" w:eastAsia="Calibri" w:hAnsi="Calibri" w:cs="Calibri"/>
                <w:b/>
                <w:sz w:val="24"/>
                <w:szCs w:val="24"/>
              </w:rPr>
              <w:t>Clinical features of TIA (</w:t>
            </w:r>
            <w:r>
              <w:rPr>
                <w:rFonts w:ascii="Calibri" w:eastAsia="Calibri" w:hAnsi="Calibri" w:cs="Calibri"/>
                <w:b/>
                <w:i/>
                <w:sz w:val="24"/>
                <w:szCs w:val="24"/>
              </w:rPr>
              <w:t xml:space="preserve">choose </w:t>
            </w:r>
            <w:r w:rsidR="00EC2138">
              <w:rPr>
                <w:rFonts w:ascii="Calibri" w:eastAsia="Calibri" w:hAnsi="Calibri" w:cs="Calibri"/>
                <w:b/>
                <w:i/>
                <w:sz w:val="24"/>
                <w:szCs w:val="24"/>
              </w:rPr>
              <w:t>one) *</w:t>
            </w:r>
          </w:p>
          <w:p w14:paraId="01E7CD99" w14:textId="77777777" w:rsidR="001044C1" w:rsidRDefault="005769C7">
            <w:pPr>
              <w:rPr>
                <w:rFonts w:ascii="Calibri" w:eastAsia="Calibri" w:hAnsi="Calibri" w:cs="Calibri"/>
                <w:sz w:val="24"/>
                <w:szCs w:val="24"/>
              </w:rPr>
            </w:pPr>
            <w:r>
              <w:rPr>
                <w:rFonts w:ascii="Calibri" w:eastAsia="Calibri" w:hAnsi="Calibri" w:cs="Calibri"/>
                <w:sz w:val="24"/>
                <w:szCs w:val="24"/>
              </w:rPr>
              <w:t xml:space="preserve">Unilateral weakness with or without speech impairment OR                          </w:t>
            </w:r>
            <w:r>
              <w:rPr>
                <w:rFonts w:ascii="Calibri" w:eastAsia="Calibri" w:hAnsi="Calibri" w:cs="Calibri"/>
                <w:b/>
                <w:sz w:val="24"/>
                <w:szCs w:val="24"/>
              </w:rPr>
              <w:t xml:space="preserve"> 2</w:t>
            </w:r>
          </w:p>
          <w:p w14:paraId="34C70C0C" w14:textId="77777777" w:rsidR="001044C1" w:rsidRDefault="005769C7">
            <w:pPr>
              <w:rPr>
                <w:rFonts w:ascii="Calibri" w:eastAsia="Calibri" w:hAnsi="Calibri" w:cs="Calibri"/>
                <w:sz w:val="24"/>
                <w:szCs w:val="24"/>
              </w:rPr>
            </w:pPr>
            <w:r>
              <w:rPr>
                <w:rFonts w:ascii="Calibri" w:eastAsia="Calibri" w:hAnsi="Calibri" w:cs="Calibri"/>
                <w:sz w:val="24"/>
                <w:szCs w:val="24"/>
              </w:rPr>
              <w:t xml:space="preserve">Speech impairment without unilateral weakness                                               </w:t>
            </w:r>
            <w:r>
              <w:rPr>
                <w:rFonts w:ascii="Calibri" w:eastAsia="Calibri" w:hAnsi="Calibri" w:cs="Calibri"/>
                <w:b/>
                <w:sz w:val="24"/>
                <w:szCs w:val="24"/>
              </w:rPr>
              <w:t>1</w:t>
            </w:r>
          </w:p>
        </w:tc>
        <w:tc>
          <w:tcPr>
            <w:tcW w:w="2003" w:type="dxa"/>
          </w:tcPr>
          <w:p w14:paraId="5325FB4E" w14:textId="77777777" w:rsidR="001044C1" w:rsidRDefault="001044C1">
            <w:pPr>
              <w:jc w:val="center"/>
              <w:rPr>
                <w:rFonts w:ascii="Calibri" w:eastAsia="Calibri" w:hAnsi="Calibri" w:cs="Calibri"/>
              </w:rPr>
            </w:pPr>
          </w:p>
        </w:tc>
      </w:tr>
      <w:tr w:rsidR="001044C1" w14:paraId="0BFEDD4C" w14:textId="77777777">
        <w:trPr>
          <w:trHeight w:val="798"/>
          <w:jc w:val="center"/>
        </w:trPr>
        <w:tc>
          <w:tcPr>
            <w:tcW w:w="7983" w:type="dxa"/>
          </w:tcPr>
          <w:p w14:paraId="337D5846" w14:textId="77777777" w:rsidR="001044C1" w:rsidRDefault="005769C7">
            <w:pPr>
              <w:rPr>
                <w:rFonts w:ascii="Calibri" w:eastAsia="Calibri" w:hAnsi="Calibri" w:cs="Calibri"/>
                <w:b/>
                <w:sz w:val="24"/>
                <w:szCs w:val="24"/>
              </w:rPr>
            </w:pPr>
            <w:r>
              <w:rPr>
                <w:rFonts w:ascii="Calibri" w:eastAsia="Calibri" w:hAnsi="Calibri" w:cs="Calibri"/>
                <w:b/>
                <w:sz w:val="24"/>
                <w:szCs w:val="24"/>
              </w:rPr>
              <w:t>Duration</w:t>
            </w:r>
          </w:p>
          <w:p w14:paraId="6AB0485F" w14:textId="77777777" w:rsidR="001044C1" w:rsidRDefault="005769C7">
            <w:pPr>
              <w:rPr>
                <w:rFonts w:ascii="Calibri" w:eastAsia="Calibri" w:hAnsi="Calibri" w:cs="Calibri"/>
                <w:b/>
                <w:sz w:val="24"/>
                <w:szCs w:val="24"/>
              </w:rPr>
            </w:pPr>
            <w:r>
              <w:rPr>
                <w:rFonts w:ascii="Calibri" w:eastAsia="Calibri" w:hAnsi="Calibri" w:cs="Calibri"/>
                <w:sz w:val="24"/>
                <w:szCs w:val="24"/>
              </w:rPr>
              <w:t xml:space="preserve">TIA duration &gt;60 minutes                                                                                         </w:t>
            </w:r>
            <w:r>
              <w:rPr>
                <w:rFonts w:ascii="Calibri" w:eastAsia="Calibri" w:hAnsi="Calibri" w:cs="Calibri"/>
                <w:b/>
                <w:sz w:val="24"/>
                <w:szCs w:val="24"/>
              </w:rPr>
              <w:t>2</w:t>
            </w:r>
          </w:p>
          <w:p w14:paraId="07D567A4" w14:textId="77777777" w:rsidR="001044C1" w:rsidRDefault="005769C7">
            <w:pPr>
              <w:rPr>
                <w:rFonts w:ascii="Calibri" w:eastAsia="Calibri" w:hAnsi="Calibri" w:cs="Calibri"/>
                <w:b/>
                <w:sz w:val="24"/>
                <w:szCs w:val="24"/>
              </w:rPr>
            </w:pPr>
            <w:r>
              <w:rPr>
                <w:rFonts w:ascii="Calibri" w:eastAsia="Calibri" w:hAnsi="Calibri" w:cs="Calibri"/>
                <w:sz w:val="24"/>
                <w:szCs w:val="24"/>
              </w:rPr>
              <w:t xml:space="preserve">TIA duration 10-59 minutes                                                                                     </w:t>
            </w:r>
            <w:r>
              <w:rPr>
                <w:rFonts w:ascii="Calibri" w:eastAsia="Calibri" w:hAnsi="Calibri" w:cs="Calibri"/>
                <w:b/>
                <w:sz w:val="24"/>
                <w:szCs w:val="24"/>
              </w:rPr>
              <w:t>1</w:t>
            </w:r>
          </w:p>
        </w:tc>
        <w:tc>
          <w:tcPr>
            <w:tcW w:w="2003" w:type="dxa"/>
          </w:tcPr>
          <w:p w14:paraId="20F5AD1C" w14:textId="77777777" w:rsidR="001044C1" w:rsidRDefault="001044C1">
            <w:pPr>
              <w:jc w:val="center"/>
              <w:rPr>
                <w:rFonts w:ascii="Calibri" w:eastAsia="Calibri" w:hAnsi="Calibri" w:cs="Calibri"/>
              </w:rPr>
            </w:pPr>
          </w:p>
        </w:tc>
      </w:tr>
      <w:tr w:rsidR="001044C1" w14:paraId="38BAD437" w14:textId="77777777">
        <w:trPr>
          <w:trHeight w:val="826"/>
          <w:jc w:val="center"/>
        </w:trPr>
        <w:tc>
          <w:tcPr>
            <w:tcW w:w="7983" w:type="dxa"/>
          </w:tcPr>
          <w:p w14:paraId="4B7C6315" w14:textId="77777777" w:rsidR="001044C1" w:rsidRDefault="001044C1">
            <w:pPr>
              <w:rPr>
                <w:rFonts w:ascii="Calibri" w:eastAsia="Calibri" w:hAnsi="Calibri" w:cs="Calibri"/>
                <w:b/>
                <w:sz w:val="24"/>
                <w:szCs w:val="24"/>
              </w:rPr>
            </w:pPr>
          </w:p>
          <w:p w14:paraId="7DF1F87D" w14:textId="77777777" w:rsidR="001044C1" w:rsidRDefault="005769C7">
            <w:pPr>
              <w:rPr>
                <w:rFonts w:ascii="Calibri" w:eastAsia="Calibri" w:hAnsi="Calibri" w:cs="Calibri"/>
                <w:b/>
                <w:sz w:val="24"/>
                <w:szCs w:val="24"/>
              </w:rPr>
            </w:pPr>
            <w:r>
              <w:rPr>
                <w:rFonts w:ascii="Calibri" w:eastAsia="Calibri" w:hAnsi="Calibri" w:cs="Calibri"/>
                <w:b/>
                <w:sz w:val="24"/>
                <w:szCs w:val="24"/>
              </w:rPr>
              <w:t>Diabetes                                                                                                                      1</w:t>
            </w:r>
          </w:p>
        </w:tc>
        <w:tc>
          <w:tcPr>
            <w:tcW w:w="2003" w:type="dxa"/>
          </w:tcPr>
          <w:p w14:paraId="46D6C7C6" w14:textId="77777777" w:rsidR="001044C1" w:rsidRDefault="001044C1">
            <w:pPr>
              <w:jc w:val="center"/>
              <w:rPr>
                <w:rFonts w:ascii="Calibri" w:eastAsia="Calibri" w:hAnsi="Calibri" w:cs="Calibri"/>
              </w:rPr>
            </w:pPr>
          </w:p>
        </w:tc>
      </w:tr>
      <w:tr w:rsidR="001044C1" w14:paraId="3EE19560" w14:textId="77777777">
        <w:trPr>
          <w:trHeight w:val="901"/>
          <w:jc w:val="center"/>
        </w:trPr>
        <w:tc>
          <w:tcPr>
            <w:tcW w:w="7983" w:type="dxa"/>
            <w:shd w:val="clear" w:color="auto" w:fill="F2F2F2"/>
          </w:tcPr>
          <w:p w14:paraId="726C2149" w14:textId="77777777" w:rsidR="001044C1" w:rsidRDefault="001044C1">
            <w:pPr>
              <w:rPr>
                <w:rFonts w:ascii="Calibri" w:eastAsia="Calibri" w:hAnsi="Calibri" w:cs="Calibri"/>
              </w:rPr>
            </w:pPr>
          </w:p>
          <w:p w14:paraId="3945EF85" w14:textId="77777777" w:rsidR="001044C1" w:rsidRDefault="005769C7">
            <w:pPr>
              <w:rPr>
                <w:rFonts w:ascii="Calibri" w:eastAsia="Calibri" w:hAnsi="Calibri" w:cs="Calibri"/>
              </w:rPr>
            </w:pPr>
            <w:r>
              <w:rPr>
                <w:rFonts w:ascii="Calibri" w:eastAsia="Calibri" w:hAnsi="Calibri" w:cs="Calibri"/>
                <w:sz w:val="28"/>
                <w:szCs w:val="28"/>
              </w:rPr>
              <w:t>Total ABCD</w:t>
            </w:r>
            <w:r>
              <w:rPr>
                <w:rFonts w:ascii="Calibri" w:eastAsia="Calibri" w:hAnsi="Calibri" w:cs="Calibri"/>
                <w:sz w:val="28"/>
                <w:szCs w:val="28"/>
                <w:vertAlign w:val="superscript"/>
              </w:rPr>
              <w:t xml:space="preserve">2 </w:t>
            </w:r>
            <w:r>
              <w:rPr>
                <w:rFonts w:ascii="Calibri" w:eastAsia="Calibri" w:hAnsi="Calibri" w:cs="Calibri"/>
                <w:sz w:val="28"/>
                <w:szCs w:val="28"/>
              </w:rPr>
              <w:t>Score                                                                                0-7</w:t>
            </w:r>
          </w:p>
        </w:tc>
        <w:tc>
          <w:tcPr>
            <w:tcW w:w="2003" w:type="dxa"/>
          </w:tcPr>
          <w:p w14:paraId="4B02A0DA" w14:textId="77777777" w:rsidR="001044C1" w:rsidRDefault="001044C1">
            <w:pPr>
              <w:jc w:val="center"/>
              <w:rPr>
                <w:rFonts w:ascii="Calibri" w:eastAsia="Calibri" w:hAnsi="Calibri" w:cs="Calibri"/>
              </w:rPr>
            </w:pPr>
          </w:p>
        </w:tc>
      </w:tr>
    </w:tbl>
    <w:p w14:paraId="6F2C56F8" w14:textId="77777777" w:rsidR="001044C1" w:rsidRDefault="001044C1">
      <w:pPr>
        <w:spacing w:after="160" w:line="259" w:lineRule="auto"/>
        <w:jc w:val="center"/>
      </w:pPr>
    </w:p>
    <w:p w14:paraId="131152CB" w14:textId="77777777" w:rsidR="001044C1" w:rsidRDefault="005769C7">
      <w:r>
        <w:t>References:</w:t>
      </w:r>
    </w:p>
    <w:p w14:paraId="1AA20266" w14:textId="77777777" w:rsidR="001044C1" w:rsidRDefault="005769C7">
      <w:pPr>
        <w:rPr>
          <w:color w:val="222222"/>
          <w:sz w:val="20"/>
          <w:szCs w:val="20"/>
          <w:highlight w:val="white"/>
        </w:rPr>
      </w:pPr>
      <w:r>
        <w:rPr>
          <w:color w:val="222222"/>
          <w:sz w:val="20"/>
          <w:szCs w:val="20"/>
          <w:highlight w:val="white"/>
        </w:rPr>
        <w:t xml:space="preserve">Kleindorfer, D. O., Towfighi, A., Chaturvedi, S., Cockroft, K. M., Gutierrez, J., Lombardi-Hill, D., ... &amp; Williams, L. S. (2021). 2021 guideline for the prevention of stroke in patients with stroke and transient ischemic attack: a guideline from the American Heart Association/American Stroke Association. </w:t>
      </w:r>
      <w:r>
        <w:rPr>
          <w:i/>
          <w:color w:val="222222"/>
          <w:sz w:val="20"/>
          <w:szCs w:val="20"/>
          <w:highlight w:val="white"/>
        </w:rPr>
        <w:t>Stroke</w:t>
      </w:r>
      <w:r>
        <w:rPr>
          <w:color w:val="222222"/>
          <w:sz w:val="20"/>
          <w:szCs w:val="20"/>
          <w:highlight w:val="white"/>
        </w:rPr>
        <w:t xml:space="preserve">, </w:t>
      </w:r>
      <w:r>
        <w:rPr>
          <w:i/>
          <w:color w:val="222222"/>
          <w:sz w:val="20"/>
          <w:szCs w:val="20"/>
          <w:highlight w:val="white"/>
        </w:rPr>
        <w:t>52</w:t>
      </w:r>
      <w:r>
        <w:rPr>
          <w:color w:val="222222"/>
          <w:sz w:val="20"/>
          <w:szCs w:val="20"/>
          <w:highlight w:val="white"/>
        </w:rPr>
        <w:t>(7), e364-e467</w:t>
      </w:r>
    </w:p>
    <w:p w14:paraId="5442D5ED" w14:textId="77777777" w:rsidR="001044C1" w:rsidRDefault="005769C7">
      <w:r>
        <w:rPr>
          <w:color w:val="222222"/>
          <w:sz w:val="20"/>
          <w:szCs w:val="20"/>
          <w:highlight w:val="white"/>
        </w:rPr>
        <w:t xml:space="preserve">Wardlaw, J. M., Brazzelli, M., Chappell, F. M., Miranda, H., Shuler, K., Sandercock, P. A., &amp; Dennis, M. S. (2015). ABCD2 score and secondary stroke prevention: meta-analysis and effect per 1,000 patients triaged. </w:t>
      </w:r>
      <w:r>
        <w:rPr>
          <w:i/>
          <w:color w:val="222222"/>
          <w:sz w:val="20"/>
          <w:szCs w:val="20"/>
          <w:highlight w:val="white"/>
        </w:rPr>
        <w:t>Neurology</w:t>
      </w:r>
      <w:r>
        <w:rPr>
          <w:color w:val="222222"/>
          <w:sz w:val="20"/>
          <w:szCs w:val="20"/>
          <w:highlight w:val="white"/>
        </w:rPr>
        <w:t xml:space="preserve">, </w:t>
      </w:r>
      <w:r>
        <w:rPr>
          <w:i/>
          <w:color w:val="222222"/>
          <w:sz w:val="20"/>
          <w:szCs w:val="20"/>
          <w:highlight w:val="white"/>
        </w:rPr>
        <w:t>85</w:t>
      </w:r>
      <w:r>
        <w:rPr>
          <w:color w:val="222222"/>
          <w:sz w:val="20"/>
          <w:szCs w:val="20"/>
          <w:highlight w:val="white"/>
        </w:rPr>
        <w:t>(4), 373-380.</w:t>
      </w:r>
    </w:p>
    <w:sectPr w:rsidR="001044C1">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8054A" w14:textId="77777777" w:rsidR="00957AA4" w:rsidRDefault="005769C7">
      <w:pPr>
        <w:spacing w:line="240" w:lineRule="auto"/>
      </w:pPr>
      <w:r>
        <w:separator/>
      </w:r>
    </w:p>
  </w:endnote>
  <w:endnote w:type="continuationSeparator" w:id="0">
    <w:p w14:paraId="173C9A60" w14:textId="77777777" w:rsidR="00957AA4" w:rsidRDefault="005769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19F16" w14:textId="77777777" w:rsidR="001044C1" w:rsidRDefault="005769C7">
    <w:pPr>
      <w:jc w:val="right"/>
    </w:pPr>
    <w:r>
      <w:rPr>
        <w:color w:val="222222"/>
        <w:sz w:val="20"/>
        <w:szCs w:val="20"/>
        <w:highlight w:val="white"/>
      </w:rPr>
      <w:fldChar w:fldCharType="begin"/>
    </w:r>
    <w:r>
      <w:rPr>
        <w:color w:val="222222"/>
        <w:sz w:val="20"/>
        <w:szCs w:val="20"/>
        <w:highlight w:val="white"/>
      </w:rPr>
      <w:instrText>PAGE</w:instrText>
    </w:r>
    <w:r>
      <w:rPr>
        <w:color w:val="222222"/>
        <w:sz w:val="20"/>
        <w:szCs w:val="20"/>
        <w:highlight w:val="white"/>
      </w:rPr>
      <w:fldChar w:fldCharType="separate"/>
    </w:r>
    <w:r>
      <w:rPr>
        <w:noProof/>
        <w:color w:val="222222"/>
        <w:sz w:val="20"/>
        <w:szCs w:val="20"/>
        <w:highlight w:val="white"/>
      </w:rPr>
      <w:t>1</w:t>
    </w:r>
    <w:r>
      <w:rPr>
        <w:color w:val="222222"/>
        <w:sz w:val="20"/>
        <w:szCs w:val="20"/>
        <w:highlight w:val="whit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45137" w14:textId="77777777" w:rsidR="00957AA4" w:rsidRDefault="005769C7">
      <w:pPr>
        <w:spacing w:line="240" w:lineRule="auto"/>
      </w:pPr>
      <w:r>
        <w:separator/>
      </w:r>
    </w:p>
  </w:footnote>
  <w:footnote w:type="continuationSeparator" w:id="0">
    <w:p w14:paraId="74FA52B5" w14:textId="77777777" w:rsidR="00957AA4" w:rsidRDefault="005769C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6C328" w14:textId="322D6362" w:rsidR="006F6100" w:rsidRDefault="006F6100">
    <w:pPr>
      <w:pStyle w:val="Header"/>
    </w:pPr>
    <w:r>
      <w:rPr>
        <w:noProof/>
      </w:rPr>
      <w:drawing>
        <wp:anchor distT="0" distB="0" distL="114300" distR="114300" simplePos="0" relativeHeight="251659264" behindDoc="0" locked="0" layoutInCell="1" allowOverlap="1" wp14:anchorId="124A6D56" wp14:editId="39EFB180">
          <wp:simplePos x="0" y="0"/>
          <wp:positionH relativeFrom="margin">
            <wp:align>center</wp:align>
          </wp:positionH>
          <wp:positionV relativeFrom="paragraph">
            <wp:posOffset>-349250</wp:posOffset>
          </wp:positionV>
          <wp:extent cx="2114550" cy="772777"/>
          <wp:effectExtent l="0" t="0" r="0" b="8890"/>
          <wp:wrapNone/>
          <wp:docPr id="23" name="Picture 23"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14550" cy="77277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66423E"/>
    <w:multiLevelType w:val="multilevel"/>
    <w:tmpl w:val="095A19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C8C5F69"/>
    <w:multiLevelType w:val="multilevel"/>
    <w:tmpl w:val="0CFA1F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F773E90"/>
    <w:multiLevelType w:val="multilevel"/>
    <w:tmpl w:val="BA1AEA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4C1"/>
    <w:rsid w:val="00012D00"/>
    <w:rsid w:val="001044C1"/>
    <w:rsid w:val="005769C7"/>
    <w:rsid w:val="006F6100"/>
    <w:rsid w:val="007C591A"/>
    <w:rsid w:val="00957AA4"/>
    <w:rsid w:val="00973A80"/>
    <w:rsid w:val="009765F3"/>
    <w:rsid w:val="00D24DA2"/>
    <w:rsid w:val="00EC2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288A3"/>
  <w15:docId w15:val="{5BB7E773-B140-427F-801F-9EB23D160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Pr>
  </w:style>
  <w:style w:type="paragraph" w:styleId="Header">
    <w:name w:val="header"/>
    <w:basedOn w:val="Normal"/>
    <w:link w:val="HeaderChar"/>
    <w:uiPriority w:val="99"/>
    <w:unhideWhenUsed/>
    <w:rsid w:val="006F6100"/>
    <w:pPr>
      <w:tabs>
        <w:tab w:val="center" w:pos="4680"/>
        <w:tab w:val="right" w:pos="9360"/>
      </w:tabs>
      <w:spacing w:line="240" w:lineRule="auto"/>
    </w:pPr>
  </w:style>
  <w:style w:type="character" w:customStyle="1" w:styleId="HeaderChar">
    <w:name w:val="Header Char"/>
    <w:basedOn w:val="DefaultParagraphFont"/>
    <w:link w:val="Header"/>
    <w:uiPriority w:val="99"/>
    <w:rsid w:val="006F6100"/>
  </w:style>
  <w:style w:type="paragraph" w:styleId="Footer">
    <w:name w:val="footer"/>
    <w:basedOn w:val="Normal"/>
    <w:link w:val="FooterChar"/>
    <w:uiPriority w:val="99"/>
    <w:unhideWhenUsed/>
    <w:rsid w:val="006F6100"/>
    <w:pPr>
      <w:tabs>
        <w:tab w:val="center" w:pos="4680"/>
        <w:tab w:val="right" w:pos="9360"/>
      </w:tabs>
      <w:spacing w:line="240" w:lineRule="auto"/>
    </w:pPr>
  </w:style>
  <w:style w:type="character" w:customStyle="1" w:styleId="FooterChar">
    <w:name w:val="Footer Char"/>
    <w:basedOn w:val="DefaultParagraphFont"/>
    <w:link w:val="Footer"/>
    <w:uiPriority w:val="99"/>
    <w:rsid w:val="006F61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704</Words>
  <Characters>4014</Characters>
  <Application>Microsoft Office Word</Application>
  <DocSecurity>0</DocSecurity>
  <Lines>33</Lines>
  <Paragraphs>9</Paragraphs>
  <ScaleCrop>false</ScaleCrop>
  <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Joani Guzman</dc:creator>
  <cp:lastModifiedBy>Joani Guzman</cp:lastModifiedBy>
  <cp:revision>2</cp:revision>
  <dcterms:created xsi:type="dcterms:W3CDTF">2022-04-13T18:57:00Z</dcterms:created>
  <dcterms:modified xsi:type="dcterms:W3CDTF">2022-04-13T18:57:00Z</dcterms:modified>
</cp:coreProperties>
</file>